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  <w:gridCol w:w="7920"/>
      </w:tblGrid>
      <w:tr w:rsidR="001D3CB4" w:rsidRPr="001D3CB4" w14:paraId="66058864" w14:textId="786523CE" w:rsidTr="001D3CB4">
        <w:trPr>
          <w:trHeight w:val="855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2A2EF1F8" w14:textId="13CC1D43" w:rsidR="001D3CB4" w:rsidRPr="001D3CB4" w:rsidRDefault="00873679">
            <w:pPr>
              <w:pStyle w:val="CompanyName"/>
              <w:rPr>
                <w:sz w:val="32"/>
                <w:szCs w:val="32"/>
                <w:lang w:val="nb-NO"/>
              </w:rPr>
            </w:pPr>
            <w:r>
              <w:rPr>
                <w:color w:val="000000" w:themeColor="text1"/>
                <w:sz w:val="32"/>
                <w:szCs w:val="32"/>
                <w:lang w:val="nb-NO"/>
              </w:rPr>
              <w:t>Redegjørelse – etterlevelse av Åpenhetsloven</w:t>
            </w:r>
          </w:p>
        </w:tc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5B1B7D50" w14:textId="7B1400C5" w:rsidR="001D3CB4" w:rsidRPr="001D3CB4" w:rsidRDefault="001D3CB4">
            <w:pPr>
              <w:pStyle w:val="CompanyName"/>
              <w:rPr>
                <w:color w:val="000000" w:themeColor="text1"/>
                <w:sz w:val="32"/>
                <w:szCs w:val="32"/>
                <w:lang w:val="nb-NO"/>
              </w:rPr>
            </w:pPr>
            <w:r w:rsidRPr="001D3CB4">
              <w:rPr>
                <w:noProof/>
                <w:color w:val="595959" w:themeColor="text1" w:themeTint="A6"/>
                <w:sz w:val="20"/>
                <w:lang w:val="nb-NO"/>
              </w:rPr>
              <w:drawing>
                <wp:inline distT="0" distB="0" distL="0" distR="0" wp14:anchorId="496E834C" wp14:editId="071AE455">
                  <wp:extent cx="1524000" cy="285281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13" cy="2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CB4" w:rsidRPr="001D3CB4" w14:paraId="3E29A3FE" w14:textId="48A33A0F" w:rsidTr="001D3CB4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30BB4397" w14:textId="77777777" w:rsidR="00873679" w:rsidRDefault="00873679">
            <w:pPr>
              <w:pStyle w:val="Header"/>
              <w:rPr>
                <w:lang w:val="nb-NO"/>
              </w:rPr>
            </w:pPr>
          </w:p>
          <w:p w14:paraId="6CD0F1DE" w14:textId="3C95241F" w:rsidR="00873679" w:rsidRDefault="00873679">
            <w:pPr>
              <w:pStyle w:val="Header"/>
              <w:rPr>
                <w:lang w:val="nb-NO"/>
              </w:rPr>
            </w:pPr>
          </w:p>
          <w:p w14:paraId="7D4E413C" w14:textId="353C7E95" w:rsidR="00873679" w:rsidRPr="001D3CB4" w:rsidRDefault="00873679">
            <w:pPr>
              <w:pStyle w:val="Header"/>
              <w:rPr>
                <w:lang w:val="nb-NO"/>
              </w:rPr>
            </w:pPr>
          </w:p>
        </w:tc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38F71CAE" w14:textId="77777777" w:rsidR="001D3CB4" w:rsidRPr="001D3CB4" w:rsidRDefault="001D3CB4" w:rsidP="001D3CB4">
            <w:pPr>
              <w:rPr>
                <w:rFonts w:ascii="Times New Roman" w:eastAsia="Times New Roman" w:hAnsi="Times New Roman" w:cs="Times New Roman"/>
                <w:lang w:val="nb-NO" w:eastAsia="en-US"/>
              </w:rPr>
            </w:pPr>
          </w:p>
        </w:tc>
      </w:tr>
    </w:tbl>
    <w:p w14:paraId="749CB354" w14:textId="54EB35C5" w:rsidR="00B469A5" w:rsidRPr="001D3CB4" w:rsidRDefault="00B469A5">
      <w:pPr>
        <w:rPr>
          <w:lang w:val="nb-NO"/>
        </w:rPr>
      </w:pPr>
    </w:p>
    <w:p w14:paraId="58C2646B" w14:textId="4A5C9197" w:rsidR="007D1181" w:rsidRDefault="00873679" w:rsidP="007D1181">
      <w:pPr>
        <w:rPr>
          <w:lang w:val="nb-NO" w:eastAsia="en-US"/>
        </w:rPr>
      </w:pPr>
      <w:r w:rsidRPr="00873679">
        <w:rPr>
          <w:lang w:val="nb-NO" w:eastAsia="en-US"/>
        </w:rPr>
        <w:t>Byggfakta Docu AS har som</w:t>
      </w:r>
      <w:r>
        <w:rPr>
          <w:lang w:val="nb-NO" w:eastAsia="en-US"/>
        </w:rPr>
        <w:t xml:space="preserve"> visjon å være den norske byggenæringens markedskanal for nye forretningsmuligheter. Vår forretningside er å etablere kontakt mellom kjøpere og selgere av produkter og tjenester i bygg- og anleggsbransjen.</w:t>
      </w:r>
      <w:r w:rsidR="0057393F" w:rsidRPr="0057393F">
        <w:rPr>
          <w:lang w:val="nb-NO" w:eastAsia="en-US"/>
        </w:rPr>
        <w:t xml:space="preserve"> </w:t>
      </w:r>
      <w:r w:rsidR="0057393F">
        <w:rPr>
          <w:lang w:val="nb-NO" w:eastAsia="en-US"/>
        </w:rPr>
        <w:t>Selskapet er lokalisert i Moss.</w:t>
      </w:r>
    </w:p>
    <w:p w14:paraId="148406F4" w14:textId="540A7C0C" w:rsidR="00335A89" w:rsidRDefault="0057393F" w:rsidP="007D1181">
      <w:pPr>
        <w:rPr>
          <w:lang w:val="nb-NO" w:eastAsia="en-US"/>
        </w:rPr>
      </w:pPr>
      <w:r>
        <w:rPr>
          <w:lang w:val="nb-NO" w:eastAsia="en-US"/>
        </w:rPr>
        <w:t>Byggfakta Docu AS</w:t>
      </w:r>
      <w:r w:rsidR="00335A89">
        <w:rPr>
          <w:lang w:val="nb-NO" w:eastAsia="en-US"/>
        </w:rPr>
        <w:t xml:space="preserve"> tilbyr i all hovedsak informasjon til våre kunde</w:t>
      </w:r>
      <w:r>
        <w:rPr>
          <w:lang w:val="nb-NO" w:eastAsia="en-US"/>
        </w:rPr>
        <w:t>r, og det er derfor en svært lav andel av våre totale kostnader som kan henføres til våre underleverandører. Videre har majoriteten av våre leverandører tilhold i Norge.</w:t>
      </w:r>
    </w:p>
    <w:p w14:paraId="69F0BFAF" w14:textId="5FFD82E1" w:rsidR="00121281" w:rsidRDefault="00873679" w:rsidP="007D1181">
      <w:pPr>
        <w:rPr>
          <w:lang w:val="nb-NO" w:eastAsia="en-US"/>
        </w:rPr>
      </w:pPr>
      <w:r>
        <w:rPr>
          <w:lang w:val="nb-NO" w:eastAsia="en-US"/>
        </w:rPr>
        <w:t>I Byggfakta Docu AS er etterlevelse av Åpenhetsloven forankret i selskapets styre. Selskapets ledergruppe har ansvar for å gjennomføre arbeidet i praksis</w:t>
      </w:r>
      <w:r w:rsidR="00335A89">
        <w:rPr>
          <w:lang w:val="nb-NO" w:eastAsia="en-US"/>
        </w:rPr>
        <w:t>,</w:t>
      </w:r>
      <w:r>
        <w:rPr>
          <w:lang w:val="nb-NO" w:eastAsia="en-US"/>
        </w:rPr>
        <w:t xml:space="preserve"> </w:t>
      </w:r>
      <w:r w:rsidR="00335A89">
        <w:rPr>
          <w:lang w:val="nb-NO" w:eastAsia="en-US"/>
        </w:rPr>
        <w:t>h</w:t>
      </w:r>
      <w:r>
        <w:rPr>
          <w:lang w:val="nb-NO" w:eastAsia="en-US"/>
        </w:rPr>
        <w:t>erunder kartlegging</w:t>
      </w:r>
      <w:r w:rsidR="00335A89">
        <w:rPr>
          <w:lang w:val="nb-NO" w:eastAsia="en-US"/>
        </w:rPr>
        <w:t xml:space="preserve"> av leverandører</w:t>
      </w:r>
      <w:r>
        <w:rPr>
          <w:lang w:val="nb-NO" w:eastAsia="en-US"/>
        </w:rPr>
        <w:t xml:space="preserve">, aktsomhetsvurderinger og vurdering av risiko. Arbeidet </w:t>
      </w:r>
      <w:r w:rsidR="00335A89">
        <w:rPr>
          <w:lang w:val="nb-NO" w:eastAsia="en-US"/>
        </w:rPr>
        <w:t xml:space="preserve">rapporteres årlig til styret. Styret vurderer deretter om prosesser og vurderinger er </w:t>
      </w:r>
      <w:r w:rsidR="0057393F">
        <w:rPr>
          <w:lang w:val="nb-NO" w:eastAsia="en-US"/>
        </w:rPr>
        <w:t>utført</w:t>
      </w:r>
      <w:r w:rsidR="00335A89">
        <w:rPr>
          <w:lang w:val="nb-NO" w:eastAsia="en-US"/>
        </w:rPr>
        <w:t xml:space="preserve"> i henhold til </w:t>
      </w:r>
      <w:r w:rsidR="0057393F">
        <w:rPr>
          <w:lang w:val="nb-NO" w:eastAsia="en-US"/>
        </w:rPr>
        <w:t xml:space="preserve">lovverket. </w:t>
      </w:r>
    </w:p>
    <w:p w14:paraId="618E7B50" w14:textId="7ADDDCA7" w:rsidR="0057393F" w:rsidRPr="0057393F" w:rsidRDefault="00121281" w:rsidP="007D1181">
      <w:pPr>
        <w:rPr>
          <w:lang w:val="nb-NO" w:eastAsia="en-US"/>
        </w:rPr>
      </w:pPr>
      <w:r>
        <w:rPr>
          <w:lang w:val="nb-NO" w:eastAsia="en-US"/>
        </w:rPr>
        <w:t>Per i dag følger vi følgende prosess for aktsomhetsvurderinger:</w:t>
      </w:r>
    </w:p>
    <w:p w14:paraId="7BFDAF6B" w14:textId="21C316B8" w:rsidR="007D1181" w:rsidRDefault="0057393F" w:rsidP="007D1181">
      <w:pPr>
        <w:rPr>
          <w:lang w:val="nb-NO" w:eastAsia="en-US"/>
        </w:rPr>
      </w:pPr>
      <w:r w:rsidRPr="0057393F">
        <w:rPr>
          <w:noProof/>
        </w:rPr>
        <w:drawing>
          <wp:inline distT="0" distB="0" distL="0" distR="0" wp14:anchorId="0C682A48" wp14:editId="34EE1A62">
            <wp:extent cx="5392983" cy="767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96" cy="7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30D9A" w14:textId="376ED8F8" w:rsidR="00121281" w:rsidRDefault="00121281" w:rsidP="007D1181">
      <w:pPr>
        <w:rPr>
          <w:lang w:val="nb-NO" w:eastAsia="en-US"/>
        </w:rPr>
      </w:pPr>
      <w:r>
        <w:rPr>
          <w:lang w:val="nb-NO" w:eastAsia="en-US"/>
        </w:rPr>
        <w:t>Videre er alle ledere ansvarlig for å</w:t>
      </w:r>
      <w:r w:rsidR="005B7146">
        <w:rPr>
          <w:lang w:val="nb-NO" w:eastAsia="en-US"/>
        </w:rPr>
        <w:t xml:space="preserve"> vurdere risiko for hver enkelt leverandør før</w:t>
      </w:r>
      <w:r>
        <w:rPr>
          <w:lang w:val="nb-NO" w:eastAsia="en-US"/>
        </w:rPr>
        <w:t xml:space="preserve"> innkjøp</w:t>
      </w:r>
      <w:r w:rsidR="005B7146">
        <w:rPr>
          <w:lang w:val="nb-NO" w:eastAsia="en-US"/>
        </w:rPr>
        <w:t>et</w:t>
      </w:r>
      <w:r>
        <w:rPr>
          <w:lang w:val="nb-NO" w:eastAsia="en-US"/>
        </w:rPr>
        <w:t xml:space="preserve"> blir </w:t>
      </w:r>
      <w:r w:rsidR="005B7146">
        <w:rPr>
          <w:lang w:val="nb-NO" w:eastAsia="en-US"/>
        </w:rPr>
        <w:t>godkjent.</w:t>
      </w:r>
    </w:p>
    <w:p w14:paraId="49B7F663" w14:textId="4C3BA9B3" w:rsidR="00121281" w:rsidRDefault="00121281" w:rsidP="007D1181">
      <w:pPr>
        <w:rPr>
          <w:lang w:val="nb-NO" w:eastAsia="en-US"/>
        </w:rPr>
      </w:pPr>
      <w:r>
        <w:rPr>
          <w:lang w:val="nb-NO" w:eastAsia="en-US"/>
        </w:rPr>
        <w:t xml:space="preserve">Følgende </w:t>
      </w:r>
      <w:r w:rsidR="005B7146">
        <w:rPr>
          <w:lang w:val="nb-NO" w:eastAsia="en-US"/>
        </w:rPr>
        <w:t>risikoer har bitt vurdert for hver enkelt leverandør:</w:t>
      </w:r>
    </w:p>
    <w:p w14:paraId="58BC6ED4" w14:textId="4DD9B1A8" w:rsidR="005B7146" w:rsidRDefault="005B7146" w:rsidP="005B7146">
      <w:pPr>
        <w:pStyle w:val="ListParagraph"/>
        <w:numPr>
          <w:ilvl w:val="0"/>
          <w:numId w:val="2"/>
        </w:numPr>
      </w:pPr>
      <w:r>
        <w:t>virksomhet</w:t>
      </w:r>
    </w:p>
    <w:p w14:paraId="4CE3976D" w14:textId="44E1C53A" w:rsidR="005B7146" w:rsidRDefault="005B7146" w:rsidP="005B7146">
      <w:pPr>
        <w:pStyle w:val="ListParagraph"/>
        <w:numPr>
          <w:ilvl w:val="0"/>
          <w:numId w:val="2"/>
        </w:numPr>
      </w:pPr>
      <w:r>
        <w:t>leverandørkjede</w:t>
      </w:r>
    </w:p>
    <w:p w14:paraId="0175FAF7" w14:textId="77D0C969" w:rsidR="005B7146" w:rsidRDefault="005B7146" w:rsidP="005B7146">
      <w:pPr>
        <w:pStyle w:val="ListParagraph"/>
        <w:numPr>
          <w:ilvl w:val="0"/>
          <w:numId w:val="2"/>
        </w:numPr>
      </w:pPr>
      <w:r>
        <w:t>arbeidsforhold</w:t>
      </w:r>
    </w:p>
    <w:p w14:paraId="668607EC" w14:textId="4EFB463F" w:rsidR="005B7146" w:rsidRDefault="005B7146" w:rsidP="005B7146">
      <w:pPr>
        <w:pStyle w:val="ListParagraph"/>
        <w:numPr>
          <w:ilvl w:val="0"/>
          <w:numId w:val="2"/>
        </w:numPr>
      </w:pPr>
      <w:r>
        <w:t>arbeidstakerrettigheter</w:t>
      </w:r>
    </w:p>
    <w:p w14:paraId="03B96C47" w14:textId="09DC3DD0" w:rsidR="005B7146" w:rsidRDefault="005B7146" w:rsidP="005B7146">
      <w:pPr>
        <w:pStyle w:val="ListParagraph"/>
        <w:numPr>
          <w:ilvl w:val="0"/>
          <w:numId w:val="2"/>
        </w:numPr>
      </w:pPr>
      <w:r>
        <w:t>barnearbeid</w:t>
      </w:r>
    </w:p>
    <w:p w14:paraId="59A81B4D" w14:textId="3BC9A37B" w:rsidR="005B7146" w:rsidRDefault="005B7146" w:rsidP="005B7146">
      <w:pPr>
        <w:pStyle w:val="ListParagraph"/>
        <w:numPr>
          <w:ilvl w:val="0"/>
          <w:numId w:val="2"/>
        </w:numPr>
      </w:pPr>
      <w:r>
        <w:t>diskriminering</w:t>
      </w:r>
    </w:p>
    <w:p w14:paraId="06D2FDFA" w14:textId="5E318CB0" w:rsidR="005B7146" w:rsidRDefault="005B7146" w:rsidP="005B7146">
      <w:pPr>
        <w:pStyle w:val="ListParagraph"/>
        <w:numPr>
          <w:ilvl w:val="0"/>
          <w:numId w:val="2"/>
        </w:numPr>
      </w:pPr>
      <w:r>
        <w:t>miljøødeleggelse</w:t>
      </w:r>
    </w:p>
    <w:p w14:paraId="4A53CBBF" w14:textId="3E118B08" w:rsidR="005B7146" w:rsidRPr="007D6B11" w:rsidRDefault="005B7146" w:rsidP="005B7146">
      <w:pPr>
        <w:rPr>
          <w:lang w:val="nb-NO"/>
        </w:rPr>
      </w:pPr>
      <w:r w:rsidRPr="005B7146">
        <w:rPr>
          <w:lang w:val="nb-NO"/>
        </w:rPr>
        <w:t xml:space="preserve">Vi har </w:t>
      </w:r>
      <w:r w:rsidR="007D6B11">
        <w:rPr>
          <w:lang w:val="nb-NO"/>
        </w:rPr>
        <w:t>basert p</w:t>
      </w:r>
      <w:r w:rsidR="007D6B11" w:rsidRPr="007D6B11">
        <w:rPr>
          <w:lang w:val="nb-NO"/>
        </w:rPr>
        <w:t xml:space="preserve">å </w:t>
      </w:r>
      <w:r w:rsidR="007D6B11">
        <w:rPr>
          <w:lang w:val="nb-NO"/>
        </w:rPr>
        <w:t xml:space="preserve">innkjøp gjort </w:t>
      </w:r>
      <w:r w:rsidRPr="005B7146">
        <w:rPr>
          <w:lang w:val="nb-NO"/>
        </w:rPr>
        <w:t>i løpet a</w:t>
      </w:r>
      <w:r>
        <w:rPr>
          <w:lang w:val="nb-NO"/>
        </w:rPr>
        <w:t>v 2022 og 2023 identifisert</w:t>
      </w:r>
      <w:r w:rsidR="007B4312">
        <w:rPr>
          <w:lang w:val="nb-NO"/>
        </w:rPr>
        <w:t xml:space="preserve"> </w:t>
      </w:r>
      <w:r w:rsidR="007D6B11">
        <w:rPr>
          <w:lang w:val="nb-NO"/>
        </w:rPr>
        <w:t>tre</w:t>
      </w:r>
      <w:r w:rsidR="00510567">
        <w:rPr>
          <w:lang w:val="nb-NO"/>
        </w:rPr>
        <w:t xml:space="preserve"> </w:t>
      </w:r>
      <w:r>
        <w:rPr>
          <w:lang w:val="nb-NO"/>
        </w:rPr>
        <w:t>leverandør</w:t>
      </w:r>
      <w:r w:rsidR="007B4312">
        <w:rPr>
          <w:lang w:val="nb-NO"/>
        </w:rPr>
        <w:t>er</w:t>
      </w:r>
      <w:r>
        <w:rPr>
          <w:lang w:val="nb-NO"/>
        </w:rPr>
        <w:t xml:space="preserve"> som vi vurderer til </w:t>
      </w:r>
      <w:r w:rsidR="007B4312">
        <w:rPr>
          <w:lang w:val="nb-NO"/>
        </w:rPr>
        <w:t xml:space="preserve">å inneha </w:t>
      </w:r>
      <w:r w:rsidR="007D6B11">
        <w:rPr>
          <w:lang w:val="nb-NO"/>
        </w:rPr>
        <w:t xml:space="preserve">medium </w:t>
      </w:r>
      <w:r>
        <w:rPr>
          <w:lang w:val="nb-NO"/>
        </w:rPr>
        <w:t>risiko i</w:t>
      </w:r>
      <w:r w:rsidRPr="005B7146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nb-NO"/>
        </w:rPr>
        <w:t xml:space="preserve"> </w:t>
      </w:r>
      <w:r w:rsidRPr="005B7146">
        <w:rPr>
          <w:lang w:val="nb-NO"/>
        </w:rPr>
        <w:t>én</w:t>
      </w:r>
      <w:r w:rsidRPr="005B7146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nb-NO"/>
        </w:rPr>
        <w:t xml:space="preserve"> </w:t>
      </w:r>
      <w:r>
        <w:rPr>
          <w:lang w:val="nb-NO"/>
        </w:rPr>
        <w:t>eller flere underkategorier.</w:t>
      </w:r>
      <w:r w:rsidR="007B4312">
        <w:rPr>
          <w:lang w:val="nb-NO"/>
        </w:rPr>
        <w:t xml:space="preserve"> </w:t>
      </w:r>
      <w:r w:rsidR="007D6B11">
        <w:rPr>
          <w:lang w:val="nb-NO"/>
        </w:rPr>
        <w:t xml:space="preserve">Samtlige leverandører har vi ingen planer om å kjøpe varer eller tjenester av i fremtiden. </w:t>
      </w:r>
    </w:p>
    <w:p w14:paraId="0B47B435" w14:textId="77777777" w:rsidR="003239AB" w:rsidRDefault="003239AB" w:rsidP="005B7146">
      <w:pPr>
        <w:rPr>
          <w:lang w:val="nb-NO"/>
        </w:rPr>
      </w:pPr>
    </w:p>
    <w:p w14:paraId="1A924FB3" w14:textId="77777777" w:rsidR="003239AB" w:rsidRDefault="003239AB" w:rsidP="005B7146">
      <w:pPr>
        <w:rPr>
          <w:lang w:val="nb-NO"/>
        </w:rPr>
      </w:pPr>
    </w:p>
    <w:p w14:paraId="2D080832" w14:textId="77777777" w:rsidR="003239AB" w:rsidRDefault="003239AB" w:rsidP="005B7146">
      <w:pPr>
        <w:rPr>
          <w:lang w:val="nb-NO"/>
        </w:rPr>
      </w:pPr>
    </w:p>
    <w:p w14:paraId="33F1637D" w14:textId="77777777" w:rsidR="003239AB" w:rsidRDefault="003239AB" w:rsidP="005B7146">
      <w:pPr>
        <w:rPr>
          <w:lang w:val="nb-NO"/>
        </w:rPr>
      </w:pPr>
    </w:p>
    <w:p w14:paraId="01C3FF7F" w14:textId="77777777" w:rsidR="003239AB" w:rsidRDefault="003239AB" w:rsidP="005B7146">
      <w:pPr>
        <w:rPr>
          <w:lang w:val="nb-NO"/>
        </w:rPr>
      </w:pPr>
    </w:p>
    <w:p w14:paraId="7F91215D" w14:textId="77777777" w:rsidR="003239AB" w:rsidRDefault="003239AB" w:rsidP="005B7146">
      <w:pPr>
        <w:rPr>
          <w:lang w:val="nb-NO"/>
        </w:rPr>
      </w:pPr>
    </w:p>
    <w:p w14:paraId="62F03E9F" w14:textId="77777777" w:rsidR="003239AB" w:rsidRDefault="003239AB" w:rsidP="005B7146">
      <w:pPr>
        <w:rPr>
          <w:lang w:val="nb-NO"/>
        </w:rPr>
      </w:pPr>
    </w:p>
    <w:p w14:paraId="3906DB8C" w14:textId="77777777" w:rsidR="003239AB" w:rsidRDefault="003239AB" w:rsidP="005B7146">
      <w:pPr>
        <w:rPr>
          <w:lang w:val="nb-NO"/>
        </w:rPr>
      </w:pPr>
    </w:p>
    <w:p w14:paraId="35E0E860" w14:textId="77777777" w:rsidR="003239AB" w:rsidRDefault="003239AB" w:rsidP="005B7146">
      <w:pPr>
        <w:rPr>
          <w:lang w:val="nb-NO"/>
        </w:rPr>
      </w:pPr>
    </w:p>
    <w:p w14:paraId="6D0A5239" w14:textId="77777777" w:rsidR="003239AB" w:rsidRDefault="003239AB" w:rsidP="005B7146">
      <w:pPr>
        <w:rPr>
          <w:lang w:val="nb-NO"/>
        </w:rPr>
      </w:pPr>
    </w:p>
    <w:p w14:paraId="0C0118F7" w14:textId="77777777" w:rsidR="003239AB" w:rsidRDefault="003239AB" w:rsidP="005B7146">
      <w:pPr>
        <w:rPr>
          <w:lang w:val="nb-NO"/>
        </w:rPr>
      </w:pPr>
    </w:p>
    <w:p w14:paraId="20DE5262" w14:textId="77777777" w:rsidR="003239AB" w:rsidRDefault="003239AB" w:rsidP="005B7146">
      <w:pPr>
        <w:rPr>
          <w:lang w:val="nb-NO"/>
        </w:rPr>
      </w:pPr>
    </w:p>
    <w:p w14:paraId="7F754E35" w14:textId="77777777" w:rsidR="0057393F" w:rsidRPr="00873679" w:rsidRDefault="0057393F" w:rsidP="007D1181">
      <w:pPr>
        <w:rPr>
          <w:lang w:val="nb-NO" w:eastAsia="en-US"/>
        </w:rPr>
      </w:pPr>
    </w:p>
    <w:sectPr w:rsidR="0057393F" w:rsidRPr="00873679">
      <w:headerReference w:type="default" r:id="rId9"/>
      <w:footerReference w:type="default" r:id="rId10"/>
      <w:footerReference w:type="first" r:id="rId11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BB73" w14:textId="77777777" w:rsidR="00420998" w:rsidRDefault="00420998">
      <w:pPr>
        <w:spacing w:after="0" w:line="240" w:lineRule="auto"/>
      </w:pPr>
      <w:r>
        <w:separator/>
      </w:r>
    </w:p>
  </w:endnote>
  <w:endnote w:type="continuationSeparator" w:id="0">
    <w:p w14:paraId="5870B0AF" w14:textId="77777777" w:rsidR="00420998" w:rsidRDefault="0042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1BC3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1E37047" wp14:editId="3D5747B5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89B4ED5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D1FC" w14:textId="2CDBA60E" w:rsidR="007D1181" w:rsidRDefault="00121281" w:rsidP="007D1181">
    <w:pPr>
      <w:pStyle w:val="Footer"/>
      <w:rPr>
        <w:noProof/>
        <w:color w:val="000000"/>
        <w:sz w:val="20"/>
        <w:szCs w:val="20"/>
        <w:shd w:val="clear" w:color="auto" w:fill="FFFFFF"/>
        <w:lang w:val="sv-SE" w:eastAsia="nb-NO"/>
      </w:rPr>
    </w:pPr>
    <w:r w:rsidRPr="00121281">
      <w:rPr>
        <w:iCs/>
        <w:noProof/>
        <w:color w:val="000000"/>
        <w:sz w:val="20"/>
        <w:szCs w:val="20"/>
        <w:shd w:val="clear" w:color="auto" w:fill="FFFFFF"/>
        <w:lang w:val="sv-SE" w:eastAsia="nb-NO"/>
      </w:rPr>
      <w:t>BYGGFAKTA DOCU AS.</w:t>
    </w:r>
    <w:r w:rsidR="007D1181">
      <w:rPr>
        <w:rStyle w:val="Emphasis"/>
      </w:rPr>
      <w:t xml:space="preserve"> </w:t>
    </w:r>
    <w:r w:rsidR="007D1181">
      <w:rPr>
        <w:noProof/>
        <w:color w:val="000000"/>
        <w:sz w:val="20"/>
        <w:szCs w:val="20"/>
        <w:shd w:val="clear" w:color="auto" w:fill="FFFFFF"/>
        <w:lang w:val="sv-SE" w:eastAsia="nb-NO"/>
      </w:rPr>
      <w:t>Elisabeth Von Hübschs gate 6. PB 205, 1501 Moss</w:t>
    </w:r>
  </w:p>
  <w:p w14:paraId="7449B4DA" w14:textId="04D26065" w:rsidR="007D1181" w:rsidRDefault="007D1181" w:rsidP="007D1181">
    <w:pPr>
      <w:pStyle w:val="Footer"/>
      <w:rPr>
        <w:iCs/>
        <w:color w:val="000000" w:themeColor="text1"/>
      </w:rPr>
    </w:pPr>
    <w:r>
      <w:rPr>
        <w:noProof/>
        <w:color w:val="000000"/>
        <w:sz w:val="20"/>
        <w:szCs w:val="20"/>
        <w:shd w:val="clear" w:color="auto" w:fill="FFFFFF"/>
        <w:lang w:val="sv-SE" w:eastAsia="nb-NO"/>
      </w:rPr>
      <w:t>WWW.BYGGFAKTA.NO</w:t>
    </w:r>
  </w:p>
  <w:p w14:paraId="1C857110" w14:textId="3DB84B6B" w:rsidR="00B469A5" w:rsidRDefault="00B469A5">
    <w:pPr>
      <w:pStyle w:val="Footer"/>
      <w:rPr>
        <w:iC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47C6" w14:textId="77777777" w:rsidR="00420998" w:rsidRDefault="00420998">
      <w:pPr>
        <w:spacing w:after="0" w:line="240" w:lineRule="auto"/>
      </w:pPr>
      <w:r>
        <w:separator/>
      </w:r>
    </w:p>
  </w:footnote>
  <w:footnote w:type="continuationSeparator" w:id="0">
    <w:p w14:paraId="5659A34D" w14:textId="77777777" w:rsidR="00420998" w:rsidRDefault="0042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31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7EFF505B" w14:textId="77777777" w:rsidTr="007D1181">
      <w:trPr>
        <w:trHeight w:val="576"/>
      </w:trPr>
      <w:tc>
        <w:tcPr>
          <w:tcW w:w="7920" w:type="dxa"/>
        </w:tcPr>
        <w:p w14:paraId="129BD321" w14:textId="25742578" w:rsidR="00B469A5" w:rsidRDefault="007D1181">
          <w:pPr>
            <w:pStyle w:val="Header"/>
          </w:pPr>
          <w:r>
            <w:t xml:space="preserve">                                                                                              </w:t>
          </w:r>
          <w:r w:rsidR="00AA3DF4" w:rsidRPr="001D3CB4">
            <w:rPr>
              <w:noProof/>
              <w:lang w:val="nb-NO"/>
            </w:rPr>
            <w:drawing>
              <wp:inline distT="0" distB="0" distL="0" distR="0" wp14:anchorId="73CE2C6E" wp14:editId="478B6EDF">
                <wp:extent cx="1524000" cy="285281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013" cy="286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</w:t>
          </w:r>
          <w:r>
            <w:rPr>
              <w:noProof/>
              <w:lang w:val="nb-NO"/>
            </w:rPr>
            <w:t xml:space="preserve">                         </w:t>
          </w:r>
        </w:p>
      </w:tc>
    </w:tr>
  </w:tbl>
  <w:p w14:paraId="23BABC2E" w14:textId="12758105" w:rsidR="00B469A5" w:rsidRDefault="00B46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136"/>
    <w:multiLevelType w:val="hybridMultilevel"/>
    <w:tmpl w:val="6330BA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2DCD"/>
    <w:multiLevelType w:val="hybridMultilevel"/>
    <w:tmpl w:val="AE00AF3C"/>
    <w:lvl w:ilvl="0" w:tplc="9B8CDCC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8236">
    <w:abstractNumId w:val="0"/>
  </w:num>
  <w:num w:numId="2" w16cid:durableId="26859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4"/>
    <w:rsid w:val="00121281"/>
    <w:rsid w:val="001D3CB4"/>
    <w:rsid w:val="001F0551"/>
    <w:rsid w:val="002C0E76"/>
    <w:rsid w:val="002E60A3"/>
    <w:rsid w:val="003239AB"/>
    <w:rsid w:val="00335A89"/>
    <w:rsid w:val="00387239"/>
    <w:rsid w:val="00420998"/>
    <w:rsid w:val="00510567"/>
    <w:rsid w:val="0057393F"/>
    <w:rsid w:val="005B7146"/>
    <w:rsid w:val="00694CB6"/>
    <w:rsid w:val="00780A23"/>
    <w:rsid w:val="007B4312"/>
    <w:rsid w:val="007B7FC1"/>
    <w:rsid w:val="007D1181"/>
    <w:rsid w:val="007D6B11"/>
    <w:rsid w:val="007D711A"/>
    <w:rsid w:val="0086212F"/>
    <w:rsid w:val="00873679"/>
    <w:rsid w:val="008A5395"/>
    <w:rsid w:val="00AA3DF4"/>
    <w:rsid w:val="00B2274F"/>
    <w:rsid w:val="00B469A5"/>
    <w:rsid w:val="00CC379C"/>
    <w:rsid w:val="00D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5F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81"/>
    <w:pPr>
      <w:spacing w:after="0" w:line="240" w:lineRule="auto"/>
      <w:ind w:left="720"/>
      <w:contextualSpacing/>
    </w:pPr>
    <w:rPr>
      <w:rFonts w:eastAsiaTheme="minorHAnsi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0297\AppData\Local\Microsoft\Office\16.0\DTS\en-US%7bD4550141-27FE-4B29-8CC7-A0A60B509601%7d\%7b9A210C68-CFB2-4C70-A39B-251339D207B0%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{9A210C68-CFB2-4C70-A39B-251339D207B0}tf16392790_win32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2023-04-17T10:45:00Z</dcterms:created>
  <dcterms:modified xsi:type="dcterms:W3CDTF">2023-06-06T10:36:00Z</dcterms:modified>
</cp:coreProperties>
</file>